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F" w:rsidRPr="002326D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2326DF" w:rsidRDefault="00BE3FEB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Экологическая безопасность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антропогенными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Тем более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что человек быстро учиться их прогнозировать и предупреждать.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угроз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глобальному уровням.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поэтапная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</w:t>
      </w:r>
      <w:r w:rsidR="00C94BD8">
        <w:rPr>
          <w:rFonts w:ascii="Times New Roman" w:hAnsi="Times New Roman" w:cs="Times New Roman"/>
          <w:sz w:val="24"/>
          <w:szCs w:val="24"/>
          <w:lang w:eastAsia="ru-RU"/>
        </w:rPr>
        <w:t>логически безопасных технологий.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9573DE" wp14:editId="2E8AC6EB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Рис. 1. Принципиальная схема обеспечения экологической безопасно</w:t>
      </w:r>
      <w:r w:rsidR="00BE3FEB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-сочетание административных, нормативных и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Это типичное для нашей страны определение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C94B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bookmarkEnd w:id="0"/>
    <w:p w:rsidR="00473BD0" w:rsidRDefault="00473BD0"/>
    <w:sectPr w:rsidR="00473BD0" w:rsidSect="00BE3FEB">
      <w:pgSz w:w="11906" w:h="16838"/>
      <w:pgMar w:top="1134" w:right="850" w:bottom="1134" w:left="1134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F"/>
    <w:rsid w:val="000527E9"/>
    <w:rsid w:val="002326DF"/>
    <w:rsid w:val="00436072"/>
    <w:rsid w:val="00473BD0"/>
    <w:rsid w:val="00BE3FEB"/>
    <w:rsid w:val="00C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2023-08-17T08:41:00Z</dcterms:created>
  <dcterms:modified xsi:type="dcterms:W3CDTF">2023-08-17T08:41:00Z</dcterms:modified>
</cp:coreProperties>
</file>